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52"/>
    <w:p>
      <w:pPr>
        <w:pStyle w:val="Heading1"/>
      </w:pPr>
      <w:r>
        <w:t xml:space="preserve">Homiletics Analysis: Jeremiah 52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Jeremiah 52 is the book’s closing historical appendix, recounting the fall of Jerusalem to Babylon under Nebuchadnezzar. It opens with a summary indictment of Zedekiah’s reign and its theological cause (vv. 1–3), moves through the siege and breach of the city (vv. 4–11), the destruction of the temple and palaces (vv. 12–16), the systematic stripping of the temple vessels and their transport to Babylon (vv. 17–23), the execution of Jerusalem’s leadership (vv. 24–27), three deportation notices with precise numerical counts (vv. 28–30), and closes — unexpectedly — with the release and rehabilitation of Jehoiachin in Babylon (vv. 31–34). The chapter is nearly identical to 2 Kings 24:18–25:30, functioning as a historical seal on everything Jeremiah prophesied.</w:t>
      </w:r>
    </w:p>
    <w:p>
      <w:pPr>
        <w:pStyle w:val="BodyText"/>
      </w:pPr>
      <w:r>
        <w:rPr>
          <w:b/>
          <w:bCs/>
        </w:rPr>
        <w:t xml:space="preserve">This Text — Intent:</w:t>
      </w:r>
    </w:p>
    <w:p>
      <w:pPr>
        <w:pStyle w:val="BodyText"/>
      </w:pPr>
      <w:r>
        <w:t xml:space="preserve">God is placing a historical receipt at the close of Jeremiah’s book: the word spoken through the prophet has been fulfilled precisely and completely. The intent is not primarily informational but theological — to demonstrate that the LORD’s word does not return empty, that judgment against covenant unfaithfulness is certain, and that even in the midst of devastation and exile, the thread of covenant hope has not been severed. The Jehoiachin epilogue (vv. 31–34) is not incidental but essential to that intent: it is a small, fragile, but real signal that the story is not over, that the covenant line survives, and that the mercy of God persists beyond the rubble of the judgment He ordained.</w:t>
      </w:r>
    </w:p>
    <w:p>
      <w:r>
        <w:pict>
          <v:rect style="width:0;height:1.5pt" o:hralign="center" o:hrstd="t" o:hr="t"/>
        </w:pict>
      </w:r>
    </w:p>
    <w:p>
      <w:pPr>
        <w:pStyle w:val="FirstParagraph"/>
      </w:pPr>
      <w:r>
        <w:rPr>
          <w:b/>
          <w:bCs/>
        </w:rPr>
        <w:t xml:space="preserve">Subject Sentence:</w:t>
      </w:r>
    </w:p>
    <w:p>
      <w:pPr>
        <w:pStyle w:val="BodyText"/>
      </w:pPr>
      <w:r>
        <w:t xml:space="preserve">The fall of Jerusalem seals the fulfillment of Jeremiah’s word and leaves a single flickering ember of covenant hope alive.</w:t>
      </w:r>
    </w:p>
    <w:p>
      <w:r>
        <w:pict>
          <v:rect style="width:0;height:1.5pt" o:hralign="center" o:hrstd="t" o:hr="t"/>
        </w:pict>
      </w:r>
    </w:p>
    <w:p>
      <w:pPr>
        <w:pStyle w:val="FirstParagraph"/>
      </w:pPr>
      <w:r>
        <w:rPr>
          <w:b/>
          <w:bCs/>
        </w:rPr>
        <w:t xml:space="preserve">Primary Claim:</w:t>
      </w:r>
    </w:p>
    <w:p>
      <w:pPr>
        <w:pStyle w:val="BodyText"/>
      </w:pPr>
      <w:r>
        <w:t xml:space="preserve">God is demonstrating through the wreckage of Jerusalem that His word — both the judgment it declared and the hope it preserved — executes with complete fidelity; nothing He has spoken has failed, and nothing He has promised is finished.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Jeremiah 52 and 2 Kings 25:</w:t>
      </w:r>
      <w:r>
        <w:t xml:space="preserve"> </w:t>
      </w:r>
      <w:r>
        <w:t xml:space="preserve">The near-verbatim parallel between Jeremiah 52 and 2 Kings 24:18–25:30 raises the question of why this chapter appears here at all. Some critical scholars treat it as a later editorial addition, unrelated to Jeremiah’s own composition. This misses the point entirely. Whether Jeremiah penned it or a close associate (Baruch is the most probable candidate), its canonical placement is deliberate and load-bearing: the book of Jeremiah is a book of prophetic word, and this chapter is the documentation that the word came true. It is not an appendix in the sense of supplementary material — it is the evidentiary seal. Refute the reading that treats Jeremiah 52 as merely duplicative or editorially redundant; its placement here is theologically intentional.</w:t>
      </w:r>
    </w:p>
    <w:p>
      <w:pPr>
        <w:pStyle w:val="BodyText"/>
      </w:pPr>
      <w:r>
        <w:rPr>
          <w:b/>
          <w:bCs/>
        </w:rPr>
        <w:t xml:space="preserve">The Jehoiachin epilogue (vv. 31–34) — hope or irony?</w:t>
      </w:r>
      <w:r>
        <w:t xml:space="preserve"> </w:t>
      </w:r>
      <w:r>
        <w:t xml:space="preserve">Some interpreters read the release of Jehoiachin as a genuine note of eschatological hope — a signal within the covenant-historical narrative that the Davidic line survives, that God’s promises to David have not been annulled, and that restoration remains possible. Others read it more cautiously: Jehoiachin is a pensioner at a foreign king’s table, not a restored monarch; this is not restoration but mere survival, and to read too much hope into it is sentimentalism. The Reformed reading holds both tensions honestly. The Jehoiachin epilogue is genuinely hopeful — the covenant line survives, a son of David eats bread at the table of a pagan king by grace, not by desert — but the hope is deliberately understated, incomplete, and forward-leaning. It is a seed of covenant hope, not its flowering. It points beyond itself to a Davidic heir who will not merely be released from prison but will reign. To flatten it into either triumphal hope or mere irony is to miss its calibrated, eschatological register. Qualify both readings: the hope is real but deliberately partial.</w:t>
      </w:r>
    </w:p>
    <w:p>
      <w:pPr>
        <w:pStyle w:val="BodyText"/>
      </w:pPr>
      <w:r>
        <w:rPr>
          <w:b/>
          <w:bCs/>
        </w:rPr>
        <w:t xml:space="preserve">Dispensational concerns about the temple vessels:</w:t>
      </w:r>
      <w:r>
        <w:t xml:space="preserve"> </w:t>
      </w:r>
      <w:r>
        <w:t xml:space="preserve">Dispensational readers sometimes assign significance to the enumerated temple vessels (vv. 17–23) in connection with future temple reconstruction. The text itself assigns no such prospective significance to the vessels — their enumeration serves the theological purpose of documenting total loss, the completeness of the judgment, and the stripping of the sacred from the land. Babylon takes everything; nothing sacred is preserved in the land. This reading should not be pressed into a prophetic timetable for which the text provides no warrant. Refute the prospective-vessel reading as an importation the text actively resists; the enumeration is retrospective documentation of loss, not prospective prophecy.</w:t>
      </w:r>
    </w:p>
    <w:p>
      <w:pPr>
        <w:pStyle w:val="BodyText"/>
      </w:pPr>
      <w:r>
        <w:rPr>
          <w:b/>
          <w:bCs/>
        </w:rPr>
        <w:t xml:space="preserve">Arminian/Wesleyan readings of Zedekiah’s failure:</w:t>
      </w:r>
      <w:r>
        <w:t xml:space="preserve"> </w:t>
      </w:r>
      <w:r>
        <w:t xml:space="preserve">Wesleyan and Arminian readers may emphasize Zedekiah’s personal moral failure and the freedom of his choice as the decisive factor in Jerusalem’s fall, reading vv. 1–3 as a warning about human responsibility. This emphasis is not wrong — personal accountability is clearly in view. But vv. 2–3 (</w:t>
      </w:r>
      <w:r>
        <w:t xml:space="preserve">“he did evil in the eyes of the LORD, just as Jehoiakim had done… because of the anger of the LORD this happened to Jerusalem”</w:t>
      </w:r>
      <w:r>
        <w:t xml:space="preserve">) make clear that the theological ground of the judgment is covenantal and divine, not merely biographical. Zedekiah’s failure is the occasion, but the LORD’s covenant wrath is the cause. Acknowledge the legitimate emphasis on human accountability while qualifying the reading that makes it the primary frame.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Kings 24:18–25:30</w:t>
      </w:r>
      <w:r>
        <w:t xml:space="preserve"> </w:t>
      </w:r>
      <w:r>
        <w:t xml:space="preserve">— The near-verbatim parallel confirms the historicity of the events and establishes the canonical seal: Jeremiah’s word was not isolated prophecy but publicly verified history, recorded in the kingdom’s own archives.</w:t>
      </w:r>
    </w:p>
    <w:p>
      <w:pPr>
        <w:numPr>
          <w:ilvl w:val="0"/>
          <w:numId w:val="1001"/>
        </w:numPr>
      </w:pPr>
      <w:r>
        <w:rPr>
          <w:b/>
          <w:bCs/>
        </w:rPr>
        <w:t xml:space="preserve">Jeremiah 1:11–12</w:t>
      </w:r>
      <w:r>
        <w:t xml:space="preserve"> </w:t>
      </w:r>
      <w:r>
        <w:t xml:space="preserve">—</w:t>
      </w:r>
      <w:r>
        <w:t xml:space="preserve"> </w:t>
      </w:r>
      <w:r>
        <w:t xml:space="preserve">“I am watching over my word to perform it.”</w:t>
      </w:r>
      <w:r>
        <w:t xml:space="preserve"> </w:t>
      </w:r>
      <w:r>
        <w:t xml:space="preserve">The LORD’s opening declaration to Jeremiah that He watches over His word to fulfill it finds its comprehensive demonstration in chapter 52. The entire career of prophetic announcement reaches its receipted close here.</w:t>
      </w:r>
    </w:p>
    <w:p>
      <w:pPr>
        <w:numPr>
          <w:ilvl w:val="0"/>
          <w:numId w:val="1001"/>
        </w:numPr>
      </w:pPr>
      <w:r>
        <w:rPr>
          <w:b/>
          <w:bCs/>
        </w:rPr>
        <w:t xml:space="preserve">Lamentations 1–2</w:t>
      </w:r>
      <w:r>
        <w:t xml:space="preserve"> </w:t>
      </w:r>
      <w:r>
        <w:t xml:space="preserve">— The theological response to the same events: the city that was full is now empty, the LORD has afflicted her for the multitude of her transgressions. Lamentations confirms that the judgment of Jeremiah 52 is not arbitrary but covenantally necessary, and that grief over it is appropriate.</w:t>
      </w:r>
    </w:p>
    <w:p>
      <w:pPr>
        <w:numPr>
          <w:ilvl w:val="0"/>
          <w:numId w:val="1001"/>
        </w:numPr>
      </w:pPr>
      <w:r>
        <w:rPr>
          <w:b/>
          <w:bCs/>
        </w:rPr>
        <w:t xml:space="preserve">Isaiah 55:10–11</w:t>
      </w:r>
      <w:r>
        <w:t xml:space="preserve"> </w:t>
      </w:r>
      <w:r>
        <w:t xml:space="preserve">—</w:t>
      </w:r>
      <w:r>
        <w:t xml:space="preserve"> </w:t>
      </w:r>
      <w:r>
        <w:t xml:space="preserve">“My word shall not return to me empty.”</w:t>
      </w:r>
      <w:r>
        <w:t xml:space="preserve"> </w:t>
      </w:r>
      <w:r>
        <w:t xml:space="preserve">The theological principle that undergirds Jeremiah 52: divine speech accomplishes its purpose. The fall of Jerusalem is the historical demonstration of this principle in its judgment register; the Jehoiachin epilogue is its first signal in the hope register.</w:t>
      </w:r>
    </w:p>
    <w:p>
      <w:pPr>
        <w:numPr>
          <w:ilvl w:val="0"/>
          <w:numId w:val="1001"/>
        </w:numPr>
      </w:pPr>
      <w:r>
        <w:rPr>
          <w:b/>
          <w:bCs/>
        </w:rPr>
        <w:t xml:space="preserve">Luke 3:27 / Matthew 1:12</w:t>
      </w:r>
      <w:r>
        <w:t xml:space="preserve"> </w:t>
      </w:r>
      <w:r>
        <w:t xml:space="preserve">— Jeconiah (Jehoiachin) appears in the Matthean genealogy of Jesus. The survival of the Davidic line through Jehoiachin — fragile, humiliated, dependent on foreign bread — is the thread that runs to the Son of David who reigns forever. The ember at the close of Jeremiah 52 is the same ember that burns to the dawn of the New Testament.</w:t>
      </w:r>
    </w:p>
    <w:p>
      <w:r>
        <w:pict>
          <v:rect style="width:0;height:1.5pt" o:hralign="center" o:hrstd="t" o:hr="t"/>
        </w:pict>
      </w:r>
    </w:p>
    <w:p>
      <w:pPr>
        <w:pStyle w:val="FirstParagraph"/>
      </w:pPr>
      <w:r>
        <w:rPr>
          <w:b/>
          <w:bCs/>
        </w:rPr>
        <w:t xml:space="preserve">Aim:</w:t>
      </w:r>
    </w:p>
    <w:p>
      <w:pPr>
        <w:pStyle w:val="BodyText"/>
      </w:pPr>
      <w:r>
        <w:t xml:space="preserve">To demonstrate that God’s word executes with complete fidelity — in both its judgment and its hope — so that the reader learns to fear its warnings and cling to its promises with equal seriousness.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Zedekiah’s reign summary: age, length, mother, theological verdict —</w:t>
            </w:r>
            <w:r>
              <w:t xml:space="preserve"> </w:t>
            </w:r>
            <w:r>
              <w:t xml:space="preserve">“did evil in the eyes of the LORD”</w:t>
            </w:r>
          </w:p>
        </w:tc>
        <w:tc>
          <w:tcPr/>
          <w:p>
            <w:pPr>
              <w:pStyle w:val="Compact"/>
            </w:pPr>
            <w:r>
              <w:t xml:space="preserve">Parallel to 2 Kgs 24:18–19; formulaic regnal indictment</w:t>
            </w:r>
          </w:p>
        </w:tc>
      </w:tr>
      <w:tr>
        <w:tc>
          <w:tcPr/>
          <w:p>
            <w:pPr>
              <w:pStyle w:val="Compact"/>
            </w:pPr>
            <w:r>
              <w:t xml:space="preserve">3</w:t>
            </w:r>
          </w:p>
        </w:tc>
        <w:tc>
          <w:tcPr/>
          <w:p>
            <w:pPr>
              <w:pStyle w:val="Compact"/>
            </w:pPr>
            <w:r>
              <w:t xml:space="preserve">Theological cause stated:</w:t>
            </w:r>
            <w:r>
              <w:t xml:space="preserve"> </w:t>
            </w:r>
            <w:r>
              <w:t xml:space="preserve">“because of the anger of the LORD”</w:t>
            </w:r>
            <w:r>
              <w:t xml:space="preserve"> </w:t>
            </w:r>
            <w:r>
              <w:t xml:space="preserve">— Zedekiah rebels against Babylon</w:t>
            </w:r>
          </w:p>
        </w:tc>
        <w:tc>
          <w:tcPr/>
          <w:p>
            <w:pPr>
              <w:pStyle w:val="Compact"/>
            </w:pPr>
            <w:r>
              <w:t xml:space="preserve">The LORD’s wrath is named as the operative cause before the events are described</w:t>
            </w:r>
          </w:p>
        </w:tc>
      </w:tr>
      <w:tr>
        <w:tc>
          <w:tcPr/>
          <w:p>
            <w:pPr>
              <w:pStyle w:val="Compact"/>
            </w:pPr>
            <w:r>
              <w:t xml:space="preserve">4–5</w:t>
            </w:r>
          </w:p>
        </w:tc>
        <w:tc>
          <w:tcPr/>
          <w:p>
            <w:pPr>
              <w:pStyle w:val="Compact"/>
            </w:pPr>
            <w:r>
              <w:t xml:space="preserve">Nebuchadnezzar besieges Jerusalem — 9th year, 10th month; siege maintained through 11th year</w:t>
            </w:r>
          </w:p>
        </w:tc>
        <w:tc>
          <w:tcPr/>
          <w:p>
            <w:pPr>
              <w:pStyle w:val="Compact"/>
            </w:pPr>
            <w:r>
              <w:t xml:space="preserve">Length of siege underscores the drawn-out nature of the judgment</w:t>
            </w:r>
          </w:p>
        </w:tc>
      </w:tr>
      <w:tr>
        <w:tc>
          <w:tcPr/>
          <w:p>
            <w:pPr>
              <w:pStyle w:val="Compact"/>
            </w:pPr>
            <w:r>
              <w:t xml:space="preserve">6–7</w:t>
            </w:r>
          </w:p>
        </w:tc>
        <w:tc>
          <w:tcPr/>
          <w:p>
            <w:pPr>
              <w:pStyle w:val="Compact"/>
            </w:pPr>
            <w:r>
              <w:t xml:space="preserve">Famine severe; city wall breached; Zedekiah and army flee by night</w:t>
            </w:r>
          </w:p>
        </w:tc>
        <w:tc>
          <w:tcPr/>
          <w:p>
            <w:pPr>
              <w:pStyle w:val="Compact"/>
            </w:pPr>
            <w:r>
              <w:t xml:space="preserve">Flight under cover of darkness — shame and desperation</w:t>
            </w:r>
          </w:p>
        </w:tc>
      </w:tr>
      <w:tr>
        <w:tc>
          <w:tcPr/>
          <w:p>
            <w:pPr>
              <w:pStyle w:val="Compact"/>
            </w:pPr>
            <w:r>
              <w:t xml:space="preserve">8–9</w:t>
            </w:r>
          </w:p>
        </w:tc>
        <w:tc>
          <w:tcPr/>
          <w:p>
            <w:pPr>
              <w:pStyle w:val="Compact"/>
            </w:pPr>
            <w:r>
              <w:t xml:space="preserve">Babylonians pursue and capture Zedekiah at Jericho; army scatters</w:t>
            </w:r>
          </w:p>
        </w:tc>
        <w:tc>
          <w:tcPr/>
          <w:p>
            <w:pPr>
              <w:pStyle w:val="Compact"/>
            </w:pPr>
            <w:r>
              <w:t xml:space="preserve">Capture at Jericho — irony of geography (the conquest city now the capture city)</w:t>
            </w:r>
          </w:p>
        </w:tc>
      </w:tr>
      <w:tr>
        <w:tc>
          <w:tcPr/>
          <w:p>
            <w:pPr>
              <w:pStyle w:val="Compact"/>
            </w:pPr>
            <w:r>
              <w:t xml:space="preserve">10</w:t>
            </w:r>
          </w:p>
        </w:tc>
        <w:tc>
          <w:tcPr/>
          <w:p>
            <w:pPr>
              <w:pStyle w:val="Compact"/>
            </w:pPr>
            <w:r>
              <w:t xml:space="preserve">Zedekiah’s sons slaughtered before his eyes; Judah’s officials also killed</w:t>
            </w:r>
          </w:p>
        </w:tc>
        <w:tc>
          <w:tcPr/>
          <w:p>
            <w:pPr>
              <w:pStyle w:val="Compact"/>
            </w:pPr>
            <w:r>
              <w:t xml:space="preserve">Last sight before blindness — a judicial cruelty with theological weight</w:t>
            </w:r>
          </w:p>
        </w:tc>
      </w:tr>
      <w:tr>
        <w:tc>
          <w:tcPr/>
          <w:p>
            <w:pPr>
              <w:pStyle w:val="Compact"/>
            </w:pPr>
            <w:r>
              <w:t xml:space="preserve">11</w:t>
            </w:r>
          </w:p>
        </w:tc>
        <w:tc>
          <w:tcPr/>
          <w:p>
            <w:pPr>
              <w:pStyle w:val="Compact"/>
            </w:pPr>
            <w:r>
              <w:t xml:space="preserve">Zedekiah blinded, bound in bronze shackles, taken to Babylon; imprisoned until death</w:t>
            </w:r>
          </w:p>
        </w:tc>
        <w:tc>
          <w:tcPr/>
          <w:p>
            <w:pPr>
              <w:pStyle w:val="Compact"/>
            </w:pPr>
            <w:r>
              <w:t xml:space="preserve">Fulfills Jeremiah’s word (32:4–5; 34:3) — he sees Nebuchadnezzar but does not die in Babylon (Ezek. 12:13)</w:t>
            </w:r>
          </w:p>
        </w:tc>
      </w:tr>
      <w:tr>
        <w:tc>
          <w:tcPr/>
          <w:p>
            <w:pPr>
              <w:pStyle w:val="Compact"/>
            </w:pPr>
            <w:r>
              <w:t xml:space="preserve">12–14</w:t>
            </w:r>
          </w:p>
        </w:tc>
        <w:tc>
          <w:tcPr/>
          <w:p>
            <w:pPr>
              <w:pStyle w:val="Compact"/>
            </w:pPr>
            <w:r>
              <w:t xml:space="preserve">Nebuzaradan, captain of the guard, arrives the 10th day of 5th month (19th year) and burns the temple, palace, and all houses</w:t>
            </w:r>
          </w:p>
        </w:tc>
        <w:tc>
          <w:tcPr/>
          <w:p>
            <w:pPr>
              <w:pStyle w:val="Compact"/>
            </w:pPr>
            <w:r>
              <w:t xml:space="preserve">“All houses”</w:t>
            </w:r>
            <w:r>
              <w:t xml:space="preserve"> </w:t>
            </w:r>
            <w:r>
              <w:t xml:space="preserve">— total destruction, not selective</w:t>
            </w:r>
          </w:p>
        </w:tc>
      </w:tr>
      <w:tr>
        <w:tc>
          <w:tcPr/>
          <w:p>
            <w:pPr>
              <w:pStyle w:val="Compact"/>
            </w:pPr>
            <w:r>
              <w:t xml:space="preserve">15–16</w:t>
            </w:r>
          </w:p>
        </w:tc>
        <w:tc>
          <w:tcPr/>
          <w:p>
            <w:pPr>
              <w:pStyle w:val="Compact"/>
            </w:pPr>
            <w:r>
              <w:t xml:space="preserve">Deportation of remaining population; Nebuzaradan leaves only the poorest for vineyards and fields</w:t>
            </w:r>
          </w:p>
        </w:tc>
        <w:tc>
          <w:tcPr/>
          <w:p>
            <w:pPr>
              <w:pStyle w:val="Compact"/>
            </w:pPr>
            <w:r>
              <w:t xml:space="preserve">Judgment is comprehensive but not total — a remnant of the lowly remains</w:t>
            </w:r>
          </w:p>
        </w:tc>
      </w:tr>
      <w:tr>
        <w:tc>
          <w:tcPr/>
          <w:p>
            <w:pPr>
              <w:pStyle w:val="Compact"/>
            </w:pPr>
            <w:r>
              <w:t xml:space="preserve">17–20</w:t>
            </w:r>
          </w:p>
        </w:tc>
        <w:tc>
          <w:tcPr/>
          <w:p>
            <w:pPr>
              <w:pStyle w:val="Compact"/>
            </w:pPr>
            <w:r>
              <w:t xml:space="preserve">Bronze pillars, sea, and stands of the temple described in detail and broken down for transport to Babylon</w:t>
            </w:r>
          </w:p>
        </w:tc>
        <w:tc>
          <w:tcPr/>
          <w:p>
            <w:pPr>
              <w:pStyle w:val="Compact"/>
            </w:pPr>
            <w:r>
              <w:t xml:space="preserve">The painstaking enumeration emphasizes the totality of the sacred loss</w:t>
            </w:r>
          </w:p>
        </w:tc>
      </w:tr>
      <w:tr>
        <w:tc>
          <w:tcPr/>
          <w:p>
            <w:pPr>
              <w:pStyle w:val="Compact"/>
            </w:pPr>
            <w:r>
              <w:t xml:space="preserve">21–23</w:t>
            </w:r>
          </w:p>
        </w:tc>
        <w:tc>
          <w:tcPr/>
          <w:p>
            <w:pPr>
              <w:pStyle w:val="Compact"/>
            </w:pPr>
            <w:r>
              <w:t xml:space="preserve">Further description of the pillars’ dimensions, capitals, and pomegranates</w:t>
            </w:r>
          </w:p>
        </w:tc>
        <w:tc>
          <w:tcPr/>
          <w:p>
            <w:pPr>
              <w:pStyle w:val="Compact"/>
            </w:pPr>
            <w:r>
              <w:t xml:space="preserve">Architectural precision serves theological weight: everything that was built for the LORD’s worship is catalogued as gone</w:t>
            </w:r>
          </w:p>
        </w:tc>
      </w:tr>
      <w:tr>
        <w:tc>
          <w:tcPr/>
          <w:p>
            <w:pPr>
              <w:pStyle w:val="Compact"/>
            </w:pPr>
            <w:r>
              <w:t xml:space="preserve">24–27</w:t>
            </w:r>
          </w:p>
        </w:tc>
        <w:tc>
          <w:tcPr/>
          <w:p>
            <w:pPr>
              <w:pStyle w:val="Compact"/>
            </w:pPr>
            <w:r>
              <w:t xml:space="preserve">Nebuzaradan takes chief priests, officers, and 60 men of the people; they are executed at Riblah</w:t>
            </w:r>
          </w:p>
        </w:tc>
        <w:tc>
          <w:tcPr/>
          <w:p>
            <w:pPr>
              <w:pStyle w:val="Compact"/>
            </w:pPr>
            <w:r>
              <w:t xml:space="preserve">Leadership of the city is destroyed — not just the building but the institutional community</w:t>
            </w:r>
          </w:p>
        </w:tc>
      </w:tr>
      <w:tr>
        <w:tc>
          <w:tcPr/>
          <w:p>
            <w:pPr>
              <w:pStyle w:val="Compact"/>
            </w:pPr>
            <w:r>
              <w:t xml:space="preserve">28–30</w:t>
            </w:r>
          </w:p>
        </w:tc>
        <w:tc>
          <w:tcPr/>
          <w:p>
            <w:pPr>
              <w:pStyle w:val="Compact"/>
            </w:pPr>
            <w:r>
              <w:t xml:space="preserve">Three separate deportation tallies: 7th year (3,023), 18th year (832), 23rd year (745); total 4,600</w:t>
            </w:r>
          </w:p>
        </w:tc>
        <w:tc>
          <w:tcPr/>
          <w:p>
            <w:pPr>
              <w:pStyle w:val="Compact"/>
            </w:pPr>
            <w:r>
              <w:t xml:space="preserve">Precise numbers function as testimony — this is documented history, not parable</w:t>
            </w:r>
          </w:p>
        </w:tc>
      </w:tr>
      <w:tr>
        <w:tc>
          <w:tcPr/>
          <w:p>
            <w:pPr>
              <w:pStyle w:val="Compact"/>
            </w:pPr>
            <w:r>
              <w:t xml:space="preserve">31–33</w:t>
            </w:r>
          </w:p>
        </w:tc>
        <w:tc>
          <w:tcPr/>
          <w:p>
            <w:pPr>
              <w:pStyle w:val="Compact"/>
            </w:pPr>
            <w:r>
              <w:t xml:space="preserve">Evil-merodach of Babylon releases Jehoiachin in his 37th year of imprisonment; speaks kindly, gives him a seat above other kings</w:t>
            </w:r>
          </w:p>
        </w:tc>
        <w:tc>
          <w:tcPr/>
          <w:p>
            <w:pPr>
              <w:pStyle w:val="Compact"/>
            </w:pPr>
            <w:r>
              <w:t xml:space="preserve">The reversal is understated but real —</w:t>
            </w:r>
            <w:r>
              <w:t xml:space="preserve"> </w:t>
            </w:r>
            <w:r>
              <w:t xml:space="preserve">“spoke kindly”</w:t>
            </w:r>
            <w:r>
              <w:t xml:space="preserve"> </w:t>
            </w:r>
            <w:r>
              <w:t xml:space="preserve">echoes covenant language</w:t>
            </w:r>
          </w:p>
        </w:tc>
      </w:tr>
      <w:tr>
        <w:tc>
          <w:tcPr/>
          <w:p>
            <w:pPr>
              <w:pStyle w:val="Compact"/>
            </w:pPr>
            <w:r>
              <w:t xml:space="preserve">34</w:t>
            </w:r>
          </w:p>
        </w:tc>
        <w:tc>
          <w:tcPr/>
          <w:p>
            <w:pPr>
              <w:pStyle w:val="Compact"/>
            </w:pPr>
            <w:r>
              <w:t xml:space="preserve">Jehoiachin given a regular daily allowance for the rest of his life</w:t>
            </w:r>
          </w:p>
        </w:tc>
        <w:tc>
          <w:tcPr/>
          <w:p>
            <w:pPr>
              <w:pStyle w:val="Compact"/>
            </w:pPr>
            <w:r>
              <w:t xml:space="preserve">The chapter and book close not on the rubble but on a daily ration — small, dependent, alive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Theological Verdict: Covenant Unfaithfulness and Divine Wrath</w:t>
            </w:r>
          </w:p>
        </w:tc>
      </w:tr>
      <w:tr>
        <w:tc>
          <w:tcPr/>
          <w:p>
            <w:pPr>
              <w:pStyle w:val="Compact"/>
            </w:pPr>
            <w:r>
              <w:t xml:space="preserve">2</w:t>
            </w:r>
          </w:p>
        </w:tc>
        <w:tc>
          <w:tcPr/>
          <w:p>
            <w:pPr>
              <w:pStyle w:val="Compact"/>
            </w:pPr>
            <w:r>
              <w:t xml:space="preserve">4–11</w:t>
            </w:r>
          </w:p>
        </w:tc>
        <w:tc>
          <w:tcPr/>
          <w:p>
            <w:pPr>
              <w:pStyle w:val="Compact"/>
            </w:pPr>
            <w:r>
              <w:t xml:space="preserve">The Fall of the City: Siege, Breach, Capture, and Judgment</w:t>
            </w:r>
          </w:p>
        </w:tc>
      </w:tr>
      <w:tr>
        <w:tc>
          <w:tcPr/>
          <w:p>
            <w:pPr>
              <w:pStyle w:val="Compact"/>
            </w:pPr>
            <w:r>
              <w:t xml:space="preserve">3</w:t>
            </w:r>
          </w:p>
        </w:tc>
        <w:tc>
          <w:tcPr/>
          <w:p>
            <w:pPr>
              <w:pStyle w:val="Compact"/>
            </w:pPr>
            <w:r>
              <w:t xml:space="preserve">12–16</w:t>
            </w:r>
          </w:p>
        </w:tc>
        <w:tc>
          <w:tcPr/>
          <w:p>
            <w:pPr>
              <w:pStyle w:val="Compact"/>
            </w:pPr>
            <w:r>
              <w:t xml:space="preserve">The Destruction of the Sacred: Temple, Palaces, and Deportation</w:t>
            </w:r>
          </w:p>
        </w:tc>
      </w:tr>
      <w:tr>
        <w:tc>
          <w:tcPr/>
          <w:p>
            <w:pPr>
              <w:pStyle w:val="Compact"/>
            </w:pPr>
            <w:r>
              <w:t xml:space="preserve">4</w:t>
            </w:r>
          </w:p>
        </w:tc>
        <w:tc>
          <w:tcPr/>
          <w:p>
            <w:pPr>
              <w:pStyle w:val="Compact"/>
            </w:pPr>
            <w:r>
              <w:t xml:space="preserve">17–23</w:t>
            </w:r>
          </w:p>
        </w:tc>
        <w:tc>
          <w:tcPr/>
          <w:p>
            <w:pPr>
              <w:pStyle w:val="Compact"/>
            </w:pPr>
            <w:r>
              <w:t xml:space="preserve">The Stripping of the Holy: Temple Vessels Enumerated and Taken</w:t>
            </w:r>
          </w:p>
        </w:tc>
      </w:tr>
      <w:tr>
        <w:tc>
          <w:tcPr/>
          <w:p>
            <w:pPr>
              <w:pStyle w:val="Compact"/>
            </w:pPr>
            <w:r>
              <w:t xml:space="preserve">5</w:t>
            </w:r>
          </w:p>
        </w:tc>
        <w:tc>
          <w:tcPr/>
          <w:p>
            <w:pPr>
              <w:pStyle w:val="Compact"/>
            </w:pPr>
            <w:r>
              <w:t xml:space="preserve">24–27</w:t>
            </w:r>
          </w:p>
        </w:tc>
        <w:tc>
          <w:tcPr/>
          <w:p>
            <w:pPr>
              <w:pStyle w:val="Compact"/>
            </w:pPr>
            <w:r>
              <w:t xml:space="preserve">The Execution of Leadership: The Community Decapitated</w:t>
            </w:r>
          </w:p>
        </w:tc>
      </w:tr>
      <w:tr>
        <w:tc>
          <w:tcPr/>
          <w:p>
            <w:pPr>
              <w:pStyle w:val="Compact"/>
            </w:pPr>
            <w:r>
              <w:t xml:space="preserve">6</w:t>
            </w:r>
          </w:p>
        </w:tc>
        <w:tc>
          <w:tcPr/>
          <w:p>
            <w:pPr>
              <w:pStyle w:val="Compact"/>
            </w:pPr>
            <w:r>
              <w:t xml:space="preserve">28–30</w:t>
            </w:r>
          </w:p>
        </w:tc>
        <w:tc>
          <w:tcPr/>
          <w:p>
            <w:pPr>
              <w:pStyle w:val="Compact"/>
            </w:pPr>
            <w:r>
              <w:t xml:space="preserve">The Deportation Register: Precise Numbers as Historical Witness</w:t>
            </w:r>
          </w:p>
        </w:tc>
      </w:tr>
      <w:tr>
        <w:tc>
          <w:tcPr/>
          <w:p>
            <w:pPr>
              <w:pStyle w:val="Compact"/>
            </w:pPr>
            <w:r>
              <w:t xml:space="preserve">7</w:t>
            </w:r>
          </w:p>
        </w:tc>
        <w:tc>
          <w:tcPr/>
          <w:p>
            <w:pPr>
              <w:pStyle w:val="Compact"/>
            </w:pPr>
            <w:r>
              <w:t xml:space="preserve">31–34</w:t>
            </w:r>
          </w:p>
        </w:tc>
        <w:tc>
          <w:tcPr/>
          <w:p>
            <w:pPr>
              <w:pStyle w:val="Compact"/>
            </w:pPr>
            <w:r>
              <w:t xml:space="preserve">The Jehoiachin Epilogue: The Covenant Ember That Would Not Die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fall of Jerusalem seals the fulfillment of Jeremiah’s word and leaves a single flickering ember of covenant hope alive.</w:t>
      </w:r>
    </w:p>
    <w:p>
      <w:pPr>
        <w:pStyle w:val="BodyText"/>
      </w:pPr>
      <w:r>
        <w:rPr>
          <w:b/>
          <w:bCs/>
        </w:rPr>
        <w:t xml:space="preserve">Primary Claim:</w:t>
      </w:r>
      <w:r>
        <w:t xml:space="preserve"> </w:t>
      </w:r>
      <w:r>
        <w:t xml:space="preserve">God is demonstrating through the wreckage of Jerusalem that His word — both the judgment it declared and the hope it preserved — executes with complete fidelity; nothing He has spoken has failed, and nothing He has promised is finished.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word of God about sin will be executed — not softened, not negotiated, not indefinitely deferred.</w:t>
      </w:r>
      <w:r>
        <w:t xml:space="preserve"> </w:t>
      </w:r>
      <w:r>
        <w:rPr>
          <w:i/>
          <w:iCs/>
        </w:rPr>
        <w:t xml:space="preserve">(Mind/Belief)</w:t>
      </w:r>
      <w:r>
        <w:t xml:space="preserve"> </w:t>
      </w:r>
      <w:r>
        <w:t xml:space="preserve">Zedekiah did not disbelieve that Jeremiah was a prophet. He believed enough to consult him privately (Jer. 37–38). What he could not bring himself to believe was that the word Jeremiah carried would actually arrive with full force on his specific city, his specific temple, his specific throne. Jeremiah 52 is the receipt. The reader who hears warnings in Scripture — warnings about the trajectory of unrepentant sin, warnings about the covenant consequences of faithlessness, warnings about the judgment to come — must come to terms with the fact that those warnings are not atmospheric or rhetorical. They execute. The application is not anxiety but sobriety: stop treating God’s warnings as motivational language and start treating them as promises of what will actually happen.</w:t>
      </w:r>
    </w:p>
    <w:p>
      <w:pPr>
        <w:pStyle w:val="BodyText"/>
      </w:pPr>
      <w:r>
        <w:rPr>
          <w:b/>
          <w:bCs/>
        </w:rPr>
        <w:t xml:space="preserve">2. When God’s judgment arrives, it is comprehensive — He does not destroy symbolically while leaving the substance intact.</w:t>
      </w:r>
      <w:r>
        <w:t xml:space="preserve"> </w:t>
      </w:r>
      <w:r>
        <w:rPr>
          <w:i/>
          <w:iCs/>
        </w:rPr>
        <w:t xml:space="preserve">(Mind/Belief)</w:t>
      </w:r>
      <w:r>
        <w:t xml:space="preserve"> </w:t>
      </w:r>
      <w:r>
        <w:t xml:space="preserve">The enumeration of the temple vessels is not antiquarian padding. It is a catalogue of total loss. The bronze pillars, the great sea, the lavers, the pots, the shovels, the snuffers — everything is taken. Nothing sacred is preserved in the land. This is the nature of divine judgment on persistent covenant rebellion: it goes all the way. The reader prone to bargaining —</w:t>
      </w:r>
      <w:r>
        <w:t xml:space="preserve"> </w:t>
      </w:r>
      <w:r>
        <w:t xml:space="preserve">“God will be displeased, but surely not everything will be affected; some corners of my life, my relationships, my worship will be left intact”</w:t>
      </w:r>
      <w:r>
        <w:t xml:space="preserve"> </w:t>
      </w:r>
      <w:r>
        <w:t xml:space="preserve">— must sit with the Babylonian inventory of Jeremiah 52. God does not negotiate partial settlements with comprehensive unfaithfulness.</w:t>
      </w:r>
    </w:p>
    <w:p>
      <w:pPr>
        <w:pStyle w:val="BodyText"/>
      </w:pPr>
      <w:r>
        <w:rPr>
          <w:b/>
          <w:bCs/>
        </w:rPr>
        <w:t xml:space="preserve">3. Repent now, while the word of warning is still the word of warning and not yet the word of execution.</w:t>
      </w:r>
      <w:r>
        <w:t xml:space="preserve"> </w:t>
      </w:r>
      <w:r>
        <w:rPr>
          <w:i/>
          <w:iCs/>
        </w:rPr>
        <w:t xml:space="preserve">(Will/Behavior)</w:t>
      </w:r>
      <w:r>
        <w:t xml:space="preserve"> </w:t>
      </w:r>
      <w:r>
        <w:t xml:space="preserve">The siege lasted from Zedekiah’s ninth year to his eleventh — more than a year. There was time. Jeremiah himself, inside the city during the siege, offered the way of survival repeatedly (Jer. 38:17–18): surrender, and live. Zedekiah would not. The window of repentance is not infinite, and every reader has been handed a window. The concrete application is not abstract: what in your life has Jeremiah been saying for years that you have been consulting privately but never obeying publicly? The siege is at the wall. Surrender now, while surrender is still an act of faith rather than an act of consequence.</w:t>
      </w:r>
    </w:p>
    <w:p>
      <w:pPr>
        <w:pStyle w:val="BodyText"/>
      </w:pPr>
      <w:r>
        <w:rPr>
          <w:b/>
          <w:bCs/>
        </w:rPr>
        <w:t xml:space="preserve">4. Let the fate of Jerusalem produce godly grief — not detached historical interest, not theological pride, but genuine mourning over what sin costs.</w:t>
      </w:r>
      <w:r>
        <w:t xml:space="preserve"> </w:t>
      </w:r>
      <w:r>
        <w:rPr>
          <w:i/>
          <w:iCs/>
        </w:rPr>
        <w:t xml:space="preserve">(Affections/Worship)</w:t>
      </w:r>
      <w:r>
        <w:t xml:space="preserve"> </w:t>
      </w:r>
      <w:r>
        <w:t xml:space="preserve">It is possible to read Jeremiah 52 analytically, to trace its theological structure, to note its canonical function, and to feel nothing. That is a failure of the heart, not a success of the mind. The blind king whose last sight was his sons’ execution. The temple stripped pillar by pillar. The sixty men of the people executed at Riblah. The 4,600 deported in three waves. These are not data points; they are the wages of sin, paid out in the currency of human grief. The reader formed by Jeremiah 52 ought to emerge with a deeper, more visceral understanding of what sin costs — not others abstractly, but specifically: this is what it looks like when a people turn from the living God. Let that grief sit. Let it do its work.</w:t>
      </w:r>
    </w:p>
    <w:p>
      <w:pPr>
        <w:pStyle w:val="BodyText"/>
      </w:pPr>
      <w:r>
        <w:rPr>
          <w:b/>
          <w:bCs/>
        </w:rPr>
        <w:t xml:space="preserve">5. The Jehoiachin epilogue is your ground for hope — not because your circumstances are good, but because the covenant line of the Son of David survived the worst the world could do to it.</w:t>
      </w:r>
      <w:r>
        <w:t xml:space="preserve"> </w:t>
      </w:r>
      <w:r>
        <w:rPr>
          <w:i/>
          <w:iCs/>
        </w:rPr>
        <w:t xml:space="preserve">(Affections/Worship)</w:t>
      </w:r>
      <w:r>
        <w:t xml:space="preserve"> </w:t>
      </w:r>
      <w:r>
        <w:t xml:space="preserve">Jehoiachin is eating at Evil-merodach’s table. He is not a king; he is a pensioner. He is alive by the grace of a pagan. But he is alive — and through him the line of David runs forward to Matthew 1, to the manger in Bethlehem, to the cross, to the empty tomb. The Christian reader who encounters this ending should feel the weight of what a small, fragile hope looks like before it has been fully vindicated. Your hope, in dark seasons, may look exactly like Jehoiachin’s: alive, dependent, with no throne in sight, eating bread that comes from a source you did not choose. That is enough. That has always been enough. The covenant line that ran through a blind king’s grandson eating prison rations ran all the way to the resurrection. Cling to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Jeremiah 52 teaches that the LORD’s word is not merely declarative but performative — it accomplishes precisely what it announces, in both directions. The fall of Jerusalem is not an accident of Near Eastern geopolitics; it is the execution of covenantal judgment spoken by a faithful God against a faithless people. The theological weight of the passage is distributed across both its devastation and its epilogue: God is just in His wrath and faithful in His mercy, and He does not abandon His covenant purposes even when the covenant people have abandoned Him. The painstaking enumeration of the temple vessels, the precise deportation numbers, and the clinical account of Zedekiah’s fate all serve a single theological claim — that the LORD is a God who keeps His word, including and especially His word of judgment. The Jehoiachin epilogue prevents the passage from ending in despair, not by resolving the crisis but by demonstrating that God’s covenant mercies survive the destruction He Himself ordains.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Jeremiah 52 is a comprehensive demonstration of Reformed convictions about divine sovereignty and the efficacy of the divine word. The events described are not the outcome of Zedekiah’s free decisions alone — the text explicitly grounds Jerusalem’s fall in</w:t>
      </w:r>
      <w:r>
        <w:t xml:space="preserve"> </w:t>
      </w:r>
      <w:r>
        <w:t xml:space="preserve">“the anger of the LORD”</w:t>
      </w:r>
      <w:r>
        <w:t xml:space="preserve"> </w:t>
      </w:r>
      <w:r>
        <w:t xml:space="preserve">(v. 3), locating the ultimate cause in God’s covenantal purpose, not merely in human agency. This is not fatalism but covenant theology: God governs history according to His word, and His word does not fail. The Jehoiachin epilogue carries particular Reformed theological weight as a display of sovereign, unmerited grace. Jehoiachin was himself a king condemned in Scripture (2 Kgs. 24:8–9), with no recorded repentance. His release and elevation are not presented as rewards for merit but as the free movement of God’s covenant mercy — the preservation of the Davidic line by grace alone, through a pagan king’s unexplained act of favor. Reformed theology recognizes in this the pattern of election: the covenant thread is maintained not because the recipient is worthy but because the covenant-keeping God is faithful. The seed of the woman endures through the rubble because God has said it would.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said it would happen, and it happened — every pillar stripped, every official executed, every exile counted. And God said the covenant would survive, and a blind king’s grandson ate bread at a pagan’s table, and the line ran forward to the Son of David who reigns forever. The word of this God does not fail in either direction. Fear His warnings. Cling to His promises. They are the same kind of word.</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chapter as redundant because it parallels 2 Kings 25.</w:t>
      </w:r>
      <w:r>
        <w:t xml:space="preserve"> </w:t>
      </w:r>
      <w:r>
        <w:t xml:space="preserve">A common instinct is to skip Jeremiah 52 or treat it as an editorial footnote because it mostly repeats material found elsewhere. This misses the chapter’s entire canonical function. It is placed here as the evidentiary close to a book of prophetic word — the receipt that Jeremiah’s ministry was vindicated. Preaching it as historically redundant strips it of its theological purpose. Preach it as the</w:t>
      </w:r>
      <w:r>
        <w:t xml:space="preserve"> </w:t>
      </w:r>
      <w:r>
        <w:t xml:space="preserve">“I told you so”</w:t>
      </w:r>
      <w:r>
        <w:t xml:space="preserve"> </w:t>
      </w:r>
      <w:r>
        <w:t xml:space="preserve">that God Himself appended to forty years of prophetic announcement.</w:t>
      </w:r>
    </w:p>
    <w:p>
      <w:pPr>
        <w:numPr>
          <w:ilvl w:val="0"/>
          <w:numId w:val="1002"/>
        </w:numPr>
      </w:pPr>
      <w:r>
        <w:rPr>
          <w:b/>
          <w:bCs/>
        </w:rPr>
        <w:t xml:space="preserve">Ending the sermon on the destruction without the epilogue.</w:t>
      </w:r>
      <w:r>
        <w:t xml:space="preserve"> </w:t>
      </w:r>
      <w:r>
        <w:t xml:space="preserve">It is homiletically tempting to dwell on the devastation — the blinded king, the burned temple, the deportation registers — and treat vv. 31–34 as a postscript. This is a structural error. The Jehoiachin epilogue is the passage’s final move and must be preached as such. God does not end on the rubble. He ends on the ration — small, dependent, real, and forward-pointing. The sermon must follow the text’s own movement.</w:t>
      </w:r>
    </w:p>
    <w:p>
      <w:pPr>
        <w:numPr>
          <w:ilvl w:val="0"/>
          <w:numId w:val="1002"/>
        </w:numPr>
      </w:pPr>
      <w:r>
        <w:rPr>
          <w:b/>
          <w:bCs/>
        </w:rPr>
        <w:t xml:space="preserve">Over-reading the Jehoiachin epilogue into full restoration language.</w:t>
      </w:r>
      <w:r>
        <w:t xml:space="preserve"> </w:t>
      </w:r>
      <w:r>
        <w:t xml:space="preserve">In the opposite direction, preachers can over-invest the epilogue with triumphalism — treating it as a preview of full Davidic restoration, as if the throne is about to be rebuilt. The text is deliberately understated: a seat above other kings in a foreign court, a daily ration, a kind word. This is ember-hope, not full-flame restoration. Calibrate the register of hope to the register of the text — eschatologically forward-pointing but not yet arrived.</w:t>
      </w:r>
    </w:p>
    <w:p>
      <w:pPr>
        <w:numPr>
          <w:ilvl w:val="0"/>
          <w:numId w:val="1002"/>
        </w:numPr>
      </w:pPr>
      <w:r>
        <w:rPr>
          <w:b/>
          <w:bCs/>
        </w:rPr>
        <w:t xml:space="preserve">Preaching Zedekiah merely as a moral failure without the covenantal frame.</w:t>
      </w:r>
      <w:r>
        <w:t xml:space="preserve"> </w:t>
      </w:r>
      <w:r>
        <w:t xml:space="preserve">Zedekiah is an easy target for biographical application — he consulted the prophet and then ignored him; he was politically cowardly; he vacillated. All of this is true. But the chapter explicitly frames Jerusalem’s fall covenantally:</w:t>
      </w:r>
      <w:r>
        <w:t xml:space="preserve"> </w:t>
      </w:r>
      <w:r>
        <w:t xml:space="preserve">“because of the anger of the LORD this happened in Jerusalem and Judah”</w:t>
      </w:r>
      <w:r>
        <w:t xml:space="preserve"> </w:t>
      </w:r>
      <w:r>
        <w:t xml:space="preserve">(v. 3). Preaching it as a character study in leadership failure without the covenantal ground turns biblical history into a management case study. The diagnostic question is not</w:t>
      </w:r>
      <w:r>
        <w:t xml:space="preserve"> </w:t>
      </w:r>
      <w:r>
        <w:t xml:space="preserve">“what character flaw did Zedekiah have?”</w:t>
      </w:r>
      <w:r>
        <w:t xml:space="preserve"> </w:t>
      </w:r>
      <w:r>
        <w:t xml:space="preserve">but</w:t>
      </w:r>
      <w:r>
        <w:t xml:space="preserve"> </w:t>
      </w:r>
      <w:r>
        <w:t xml:space="preserve">“what does it look like when a people exhaust the patience of a covenant-keeping God?”</w:t>
      </w:r>
    </w:p>
    <w:p>
      <w:pPr>
        <w:numPr>
          <w:ilvl w:val="0"/>
          <w:numId w:val="1002"/>
        </w:numPr>
      </w:pPr>
      <w:r>
        <w:rPr>
          <w:b/>
          <w:bCs/>
        </w:rPr>
        <w:t xml:space="preserve">Using the precise deportation numbers (vv. 28–30) as merely decorative.</w:t>
      </w:r>
      <w:r>
        <w:t xml:space="preserve"> </w:t>
      </w:r>
      <w:r>
        <w:t xml:space="preserve">The numbers are often passed over quickly as unimportant detail. They are not decorative; they are testimonial. Precise numbers in biblical narrative function as historical witness — this happened, these people were counted, this was real. In a passage whose entire theological purpose is to demonstrate that the word of God was executed in history, the precision of the numbers is itself a theological statement. Engage them as such — as the documentary evidence that prophetic word became historical event.</w:t>
      </w:r>
    </w:p>
    <w:p>
      <w:pPr>
        <w:numPr>
          <w:ilvl w:val="0"/>
          <w:numId w:val="1002"/>
        </w:numPr>
      </w:pPr>
      <w:r>
        <w:rPr>
          <w:b/>
          <w:bCs/>
        </w:rPr>
        <w:t xml:space="preserve">Skipping the temple vessel inventory as antiquarian padding.</w:t>
      </w:r>
      <w:r>
        <w:t xml:space="preserve"> </w:t>
      </w:r>
      <w:r>
        <w:t xml:space="preserve">The catalogue of bronze pillars, the great sea, the lavers, and the rest (vv. 17–23) feels like liturgical archaeology to modern readers. But every item listed was made for the worship of the LORD and is now being removed by Babylon. The theological point is totality of loss — the sacred has been stripped from the land. Preaching past this catalogue without engaging its weight leaves the congregation without a visceral sense of what comprehensive judgment actually looks like. Let the inventory do its work.</w:t>
      </w:r>
    </w:p>
    <w:p>
      <w:r>
        <w:pict>
          <v:rect style="width:0;height:1.5pt" o:hralign="center" o:hrstd="t" o:hr="t"/>
        </w:pict>
      </w:r>
    </w:p>
    <w:p>
      <w:pPr>
        <w:pStyle w:val="FirstParagraph"/>
      </w:pPr>
      <w:r>
        <w:rPr>
          <w:i/>
          <w:iCs/>
        </w:rPr>
        <w:t xml:space="preserve">Document: 24 Jeremiah 52.docx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2026-07-14T21:06:12Z</dcterms:created>
  <dcterms:modified xsi:type="dcterms:W3CDTF">2026-07-14T21:06:12Z</dcterms:modified>
</cp:coreProperties>
</file>

<file path=docProps/custom.xml><?xml version="1.0" encoding="utf-8"?>
<Properties xmlns="http://schemas.openxmlformats.org/officeDocument/2006/custom-properties" xmlns:vt="http://schemas.openxmlformats.org/officeDocument/2006/docPropsVTypes"/>
</file>